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THESE ARE THE THINGS YOU SHOULD TEACH</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Titus 2:1-13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2:15</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“These, then, are the things you should teach. Encourage and rebuke with all authority. Do not let anyone despise you.”</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Read verses 1-5. What did Paul exhort Titus to teach? (1) What should Titus teach older men in regard to how to they should conduct themselves? (2) What should he teach the older women? (3) What should be taught to the younger women? (5)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       Read verses 6-10. What is the advice for young men? (6). How should Titus set an example as a leader? (7, 8) What are the instructions for slaves? (9, 10)</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       Read verses 11-15. To whom does the grace of God offer salvation? (11) What kind of life should we live as the ones who received the grace of God? (12) What is the blessed hope we wait for? (13) Why did Jesus give himself to us? (14) What should Titus do even though he was a young leader?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