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TRUSTWORTHY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Titus 1:1-16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Verse: 1:9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“He must hold firmly to the trustworthy message as it has been taught, so that he can encourage others by sound doctrine and refute those who oppose it.”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How does Paul identify himself?  (1a) What is the purpose of his writing? (1b-2)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bring to light the knowledge of the truth at the appointed time?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(3) How did Paul </w:t>
      </w:r>
      <w:r w:rsidDel="00000000" w:rsidR="00000000" w:rsidRPr="00000000">
        <w:rPr>
          <w:rFonts w:ascii="Arial" w:cs="Arial" w:eastAsia="Arial" w:hAnsi="Arial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Titus? (4) </w:t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 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-9.  What was the reason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Paul left Titus in Crete? (5) What are the qualification to be an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elder? </w:t>
      </w:r>
      <w:r w:rsidDel="00000000" w:rsidR="00000000" w:rsidRPr="00000000">
        <w:rPr>
          <w:rFonts w:ascii="Arial" w:cs="Arial" w:eastAsia="Arial" w:hAnsi="Arial"/>
          <w:rtl w:val="0"/>
        </w:rPr>
        <w:t xml:space="preserve">(6-9) Why is important for an elder to hold firmly to the trustworthy message?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(9)</w:t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10-16.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does Paul characterize the circumcision group? (10)  What is their motive in teaching disruptive doctrines? (11)  Why should the Cretans be rebuked? (12-14)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happened to those whose minds and consciences were corrupted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(15-16)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