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Rule="auto"/>
        <w:contextualSpacing w:val="0"/>
        <w:jc w:val="center"/>
      </w:pPr>
      <w:r w:rsidDel="00000000" w:rsidR="00000000" w:rsidRPr="00000000">
        <w:rPr>
          <w:b w:val="1"/>
          <w:sz w:val="24"/>
          <w:szCs w:val="24"/>
          <w:rtl w:val="0"/>
        </w:rPr>
        <w:t xml:space="preserve">BY PRAYER AND PETITION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Philippians 4:1-9</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6</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“Do not be anxious about anything, but in every situation, by prayer and petition, with thanksgiving, present your requests to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1-3. Why did Paul call the Philippian believers as his joy and crown? How did he plead with two women and why was it important to help them? (2-3)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w:t>
      </w:r>
      <w:r w:rsidDel="00000000" w:rsidR="00000000" w:rsidRPr="00000000">
        <w:rPr>
          <w:sz w:val="24"/>
          <w:szCs w:val="24"/>
          <w:rtl w:val="0"/>
        </w:rPr>
        <w:t xml:space="preserve">ad verses 4-7. What did Paul emphasize again? (4) Why should we be gentle to all? (5) What should we do in the situation leading us to be anxious? (6) What happens to those who pray?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8-9. What did Paul ask us to do? (8) How did he stress the importance of practicing what we know? (9)</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