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 LIVE IS CHRIST, TO DIE IS GAIN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Philippians 1:12-30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21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“For to me, to live is Christ and to die is gain.”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</w:t>
        <w:tab/>
        <w:t xml:space="preserve">Read verses 12-14. What did Paul want the Philippians to know? (12) How did God use Paul’s imprisonment to advance the gospel? (13-14) What can we learn from God who uses even difficult circumstances to advance the gospel?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  Read verses 15-19. What contrasting motives does Paul mention for preaching Christ (15-17)? What was the reason for Paul’s rejoicing? (18a) What does he mention as another reason to rejoice? (18b, 19)</w:t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   Read verses 20-24.</w:t>
        <w:tab/>
        <w:t xml:space="preserve">What was Paul’s eager expectation? (20) What can we learn from his remark? (21) What inner conflict did Paul experience? (22-24) For what reason did he want to remain in the body (25-26)?</w:t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</w:t>
        <w:tab/>
        <w:t xml:space="preserve">Read verses 27-30. What was Paul’s exhortation? (27) How can we overcome fear? (28) What has been granted to us in addition to faith? (29) What example did Paul show them? (30)</w:t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