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sz w:val="24"/>
          <w:szCs w:val="24"/>
          <w:rtl w:val="0"/>
        </w:rPr>
        <w:t xml:space="preserve">You are Witnesses of These Things</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24:36-53</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48</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center"/>
      </w:pPr>
      <w:r w:rsidDel="00000000" w:rsidR="00000000" w:rsidRPr="00000000">
        <w:rPr>
          <w:color w:val="ff0000"/>
          <w:sz w:val="24"/>
          <w:szCs w:val="24"/>
          <w:rtl w:val="0"/>
        </w:rPr>
        <w:t xml:space="preserve">“You are witnesses of these things.”</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 Read verses 36-44. When did Jesus appear to his disciples? (36) How did the disciples respond? (37) How did Jesus rebuke them? (38) How did Jesus help them to believe in his resurrection? (39-43) How did Jesus help them further? (44)</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2. Read verses 45-49. When did the disciples start understanding the Scriptures? (45; Jn 2:22) What did Jesus teach them about the Messiah and what was his vision? (46-47) What did Jesus call His disciples? (48) What further promise and instruction did Jesus give them? (49)</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4. Read verses 50-53. What did Jesus do for the disciples?(50) Describe Jesus’ ascension. (51) What did the disciples do after this event? (52-53)</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