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rtl w:val="0"/>
        </w:rPr>
        <w:t xml:space="preserve">He is the God of the Living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Luke 20:27-40</w:t>
      </w:r>
    </w:p>
    <w:p w:rsidR="00000000" w:rsidDel="00000000" w:rsidP="00000000" w:rsidRDefault="00000000" w:rsidRPr="00000000">
      <w:pPr>
        <w:contextualSpacing w:val="0"/>
      </w:pPr>
      <w:r w:rsidDel="00000000" w:rsidR="00000000" w:rsidRPr="00000000">
        <w:rPr>
          <w:sz w:val="24"/>
          <w:szCs w:val="24"/>
          <w:rtl w:val="0"/>
        </w:rPr>
        <w:t xml:space="preserve">Key Verse 38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sz w:val="24"/>
          <w:szCs w:val="24"/>
          <w:rtl w:val="0"/>
        </w:rPr>
        <w:t xml:space="preserve">          “He is not the God of the dead, but of the living, for to him all are alive.”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 Read verses 27-33. What did the Sadducees say about resurrection? (27) Describe the sad story they used to question Jesus regarding Moses’ law? (28-32, Deuteronomy 25:5) What question did they ask Jesus in conclusion to their story? (33) </w:t>
      </w:r>
    </w:p>
    <w:p w:rsidR="00000000" w:rsidDel="00000000" w:rsidP="00000000" w:rsidRDefault="00000000" w:rsidRPr="00000000">
      <w:pPr>
        <w:spacing w:after="160"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 Read verses 34-36. How different will our resurrected life be? (34, 35) Who are worthy of taking part in the age to come? What do the following words/expressions show about our resurrection:  “like the angels,” “God’s children,” and “children of resurrection”?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 Read verses 37-40. Why did Moses call the Lord, “the God of Abraham, the God of Isaac, and the God of Jacob”? (37)  What did Jesus conclude about God and His children? (38) How did the people respond? (39, 40) </w:t>
      </w:r>
    </w:p>
    <w:p w:rsidR="00000000" w:rsidDel="00000000" w:rsidP="00000000" w:rsidRDefault="00000000" w:rsidRPr="00000000">
      <w:pPr>
        <w:spacing w:after="160"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