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jc w:val="center"/>
      </w:pPr>
      <w:r w:rsidDel="00000000" w:rsidR="00000000" w:rsidRPr="00000000">
        <w:rPr>
          <w:b w:val="1"/>
          <w:sz w:val="24"/>
          <w:szCs w:val="24"/>
          <w:highlight w:val="white"/>
          <w:rtl w:val="0"/>
        </w:rPr>
        <w:t xml:space="preserve">W</w:t>
      </w:r>
      <w:r w:rsidDel="00000000" w:rsidR="00000000" w:rsidRPr="00000000">
        <w:rPr>
          <w:b w:val="1"/>
          <w:sz w:val="24"/>
          <w:szCs w:val="24"/>
          <w:highlight w:val="white"/>
          <w:rtl w:val="0"/>
        </w:rPr>
        <w:t xml:space="preserve">e All Reach Unity in the Faith</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Ephesians 4:1-16</w:t>
      </w:r>
    </w:p>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Key Verses 13</w:t>
      </w:r>
    </w:p>
    <w:p w:rsidR="00000000" w:rsidDel="00000000" w:rsidP="00000000" w:rsidRDefault="00000000" w:rsidRPr="00000000">
      <w:pPr>
        <w:spacing w:line="331.2" w:lineRule="auto"/>
        <w:contextualSpacing w:val="0"/>
        <w:jc w:val="center"/>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color w:val="ff0000"/>
          <w:sz w:val="24"/>
          <w:szCs w:val="24"/>
          <w:highlight w:val="white"/>
          <w:rtl w:val="0"/>
        </w:rPr>
        <w:t xml:space="preserve">“</w:t>
      </w:r>
      <w:r w:rsidDel="00000000" w:rsidR="00000000" w:rsidRPr="00000000">
        <w:rPr>
          <w:color w:val="ff0000"/>
          <w:sz w:val="24"/>
          <w:szCs w:val="24"/>
          <w:highlight w:val="white"/>
          <w:rtl w:val="0"/>
        </w:rPr>
        <w:t xml:space="preserve">until we all reach unity in the faith and in the knowledge of the Son of God and become mature, attaining to the whole measure of the fullness of Christ.”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1. Read verses 1-2. What did Paul urge us to do? (1) What does it mean to be completely humble, gentle, and patient in bearing one another? (2) How can we do this? (Php 2:5-8)</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2. Read verses 3-6. How can we keep unity of the Spirit? (3) What elements are necessary for unity? (4-6)  What can we learn from God being one and the Father of all? (6)</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3. Read verses 7-13. What did Jesus give each of us? (7)  What does the quotation from Psalm 68 tell us about Jesus’ ascension? (8-10) How did Christ equip His people for works of service and for what purpose? (11-13)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4. Read verses 14-16. What happen to immature believers? (14) How much do we have to grow as the mature body of Jesus? (15) What should we do as each part of Jesus’ whole body? (16)</w:t>
      </w: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