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 “Come, For Everything is Now Ready”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14:12-24</w:t>
      </w:r>
    </w:p>
    <w:p w:rsidR="00000000" w:rsidDel="00000000" w:rsidP="00000000" w:rsidRDefault="00000000" w:rsidRPr="00000000">
      <w:pPr>
        <w:contextualSpacing w:val="0"/>
      </w:pPr>
      <w:r w:rsidDel="00000000" w:rsidR="00000000" w:rsidRPr="00000000">
        <w:rPr>
          <w:sz w:val="24"/>
          <w:szCs w:val="24"/>
          <w:rtl w:val="0"/>
        </w:rPr>
        <w:t xml:space="preserve">Key verse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Read verses 12-14. What did Jesus say to his host? Why should we invite those who cannot repay us? (13-14, Mt 25:36-46)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2.  Read verses 15-16.  When one of the guests heard what Jesus said, what was he reminded of? (15) What story did Jesus tell to describe this great banquet? Who were the invited guests? (Romans 9:1-5)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3. Read verses 17-20.  Describe how the owner invited his guests. (17) When the invited guests were summoned, what excuses did each give? (18-20) What is your response to this invitation today?</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4. Read verses 21-24. Why did the owner of the house become angry? (21a) What did he then order his servant to do? (21b) Who do you think these people represent? What further instructions did the owner give to his servant since there was still room? (22-23) What warning can we heed from this parable? (24)</w:t>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