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How Often I Have Longed to Gather Your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13:31-35</w:t>
      </w:r>
    </w:p>
    <w:p w:rsidR="00000000" w:rsidDel="00000000" w:rsidP="00000000" w:rsidRDefault="00000000" w:rsidRPr="00000000">
      <w:pPr>
        <w:contextualSpacing w:val="0"/>
      </w:pPr>
      <w:r w:rsidDel="00000000" w:rsidR="00000000" w:rsidRPr="00000000">
        <w:rPr>
          <w:sz w:val="24"/>
          <w:szCs w:val="24"/>
          <w:rtl w:val="0"/>
        </w:rPr>
        <w:t xml:space="preserve">Key verse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highlight w:val="white"/>
          <w:rtl w:val="0"/>
        </w:rPr>
        <w:t xml:space="preserve">“Jerusalem, Jerusalem, you who kill the prophets and stone those sent to you, how often I have longed to gather your children together, as a hen gathers her chicks under her wings, and you were not willing.”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31-32a. What warning did the Pharisees give to Jesus? (31) Why might Herod have wanted to kill him? What did Jesus call Herod and what can we learn from Jesus? (32a)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32b-33. What did Jesus teach about his mission? What can we learn from Jesus’ words, “today and tomorrow,” “I will reach my goal,” “In any case,” “I must press on,” and “for surely”? Why was Jesus so determined? (33b)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34-35. Why was Jesus lamenting over Jerusalem? What was his longing and hope? (34) What can we learn from Jesus? Describe the spiritual condition of the people.  (35a) What would happen to them? (35b)</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